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Öckerö kommunfullmäktige</w:t>
      </w:r>
    </w:p>
    <w:p>
      <w:pPr>
        <w:pStyle w:val="Heading1"/>
      </w:pPr>
      <w:r>
        <w:t xml:space="preserve">Ökad kapacitet och lägre priser på färjetrafiken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Öckerö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Färjetrafiken är Öckerös livsnerv. Enligt Västtrafiks statistik 2024 har antalet avgångar inte ökat trots befolkningstillväxt. Biljettpriset har höjts 18 % sedan 2022, vilket drabbar pendlare och äldre. Bristande kapacitet skapar köer och osäkerhet för både boende och turismnäringen.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Öckerö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uppdrar åt kommunstyrelsen att initiera förhandlingar med Västtrafik och regionen om minst två extra avgångar per vardag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ett kommunalt färjepeng-stöd för pensionärer och barnfamiljer motsvarande 25 % av ordinarie biljettpris.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kommunstyrelsen får i uppdrag att utreda möjlighet till elbåtar på linjen Öckerö–Hönö–Göteborg.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av utredningen redovisas i budgetunderlaget för 2028.</w:t>
      </w:r>
    </w:p>
    <w:p>
      <w:pPr>
        <w:spacing w:before="360"/>
      </w:pPr>
    </w:p>
    <w:p>
      <w:r>
        <w:t xml:space="preserve">Öckerö,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Öckerö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2026-07-14T02:03:40.251Z</dcterms:created>
  <dcterms:modified xsi:type="dcterms:W3CDTF">2026-07-14T02:03:40.251Z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